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/>
      </w:pPr>
      <w:r>
        <w:rPr/>
        <w:drawing>
          <wp:inline distT="0" distB="0" distL="0" distR="0">
            <wp:extent cx="1772920" cy="218567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jc w:val="center"/>
        <w:rPr/>
      </w:pPr>
      <w:r>
        <w:rPr/>
      </w:r>
    </w:p>
    <w:p>
      <w:pPr>
        <w:pStyle w:val="LO-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300"/>
        <w:ind w:left="0" w:right="0" w:hanging="0"/>
        <w:jc w:val="center"/>
        <w:rPr>
          <w:rFonts w:ascii="Times New Roman" w:hAnsi="Times New Roman" w:eastAsia="Times New Roman" w:cs="Times New Roman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Міськов Геннадій Васильович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науковий співробітник</w:t>
        <w:br/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ittek</w:t>
      </w:r>
      <w:r>
        <w:fldChar w:fldCharType="begin"/>
      </w:r>
      <w:r>
        <w:rPr>
          <w:smallCaps w:val="false"/>
          <w:caps w:val="false"/>
          <w:dstrike w:val="false"/>
          <w:strike w:val="false"/>
          <w:vertAlign w:val="baseline"/>
          <w:position w:val="0"/>
          <w:sz w:val="28"/>
          <w:sz w:val="28"/>
          <w:i/>
          <w:u w:val="none"/>
          <w:b w:val="false"/>
          <w:shd w:fill="auto" w:val="clear"/>
          <w:szCs w:val="28"/>
          <w:rFonts w:eastAsia="Times New Roman" w:cs="Times New Roman"/>
          <w:color w:val="000000"/>
        </w:rPr>
        <w:instrText xml:space="preserve"> HYPERLINK "https://mail.ukr.net/desktop" \l "sendmsg/f=to=E2sM9hDc9zOHfzJ-foCDE4Ow9W8N"</w:instrText>
      </w:r>
      <w:r>
        <w:rPr>
          <w:smallCaps w:val="false"/>
          <w:caps w:val="false"/>
          <w:dstrike w:val="false"/>
          <w:strike w:val="false"/>
          <w:vertAlign w:val="baseline"/>
          <w:position w:val="0"/>
          <w:sz w:val="28"/>
          <w:sz w:val="28"/>
          <w:i/>
          <w:u w:val="none"/>
          <w:b w:val="false"/>
          <w:shd w:fill="auto" w:val="clear"/>
          <w:szCs w:val="28"/>
          <w:rFonts w:eastAsia="Times New Roman" w:cs="Times New Roman"/>
          <w:color w:val="000000"/>
        </w:rPr>
        <w:fldChar w:fldCharType="separate"/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@ukr.net</w:t>
      </w:r>
      <w:r>
        <w:rPr>
          <w:smallCaps w:val="false"/>
          <w:caps w:val="false"/>
          <w:dstrike w:val="false"/>
          <w:strike w:val="false"/>
          <w:vertAlign w:val="baseline"/>
          <w:position w:val="0"/>
          <w:sz w:val="28"/>
          <w:sz w:val="28"/>
          <w:i/>
          <w:u w:val="none"/>
          <w:b w:val="false"/>
          <w:shd w:fill="auto" w:val="clear"/>
          <w:szCs w:val="28"/>
          <w:rFonts w:eastAsia="Times New Roman" w:cs="Times New Roman"/>
          <w:color w:val="000000"/>
        </w:rPr>
        <w:fldChar w:fldCharType="end"/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300"/>
        <w:ind w:left="0" w:right="0" w:hanging="0"/>
        <w:jc w:val="left"/>
        <w:rPr>
          <w:rFonts w:ascii="Times New Roman" w:hAnsi="Times New Roman" w:eastAsia="Times New Roman" w:cs="Times New Roman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ORCID iD: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  </w:t>
      </w:r>
      <w:hyperlink r:id="rId3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8"/>
            <w:sz w:val="28"/>
            <w:szCs w:val="28"/>
            <w:u w:val="single"/>
            <w:shd w:fill="auto" w:val="clear"/>
            <w:vertAlign w:val="baseline"/>
          </w:rPr>
          <w:t>https://orcid.org/0000-0002-4135-8880</w:t>
        </w:r>
      </w:hyperlink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300"/>
        <w:ind w:left="0" w:right="0" w:hanging="0"/>
        <w:jc w:val="left"/>
        <w:rPr>
          <w:rFonts w:ascii="Times New Roman" w:hAnsi="Times New Roman" w:eastAsia="Times New Roman" w:cs="Times New Roman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Профіль вченого у Google Scholer: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hyperlink r:id="rId4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8"/>
            <w:sz w:val="28"/>
            <w:szCs w:val="28"/>
            <w:u w:val="single"/>
            <w:shd w:fill="auto" w:val="clear"/>
            <w:vertAlign w:val="baseline"/>
          </w:rPr>
          <w:t>https://scholar.google.com.ua/citations?user=eYJliTwAAAAJ&amp;hl=uk</w:t>
        </w:r>
      </w:hyperlink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300"/>
        <w:ind w:left="0" w:right="0" w:hanging="0"/>
        <w:jc w:val="left"/>
        <w:rPr>
          <w:rFonts w:ascii="Times New Roman" w:hAnsi="Times New Roman" w:eastAsia="Times New Roman" w:cs="Times New Roman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Сторінка науковця в Електронній бібліотеці Національної академії педагогічних наук України: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  ; </w:t>
      </w:r>
      <w:hyperlink r:id="rId5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8"/>
            <w:sz w:val="28"/>
            <w:szCs w:val="28"/>
            <w:u w:val="single"/>
            <w:shd w:fill="auto" w:val="clear"/>
            <w:vertAlign w:val="baseline"/>
          </w:rPr>
          <w:t>https://lib.iitta.gov.ua/view/creators/==041C==0456==0441==044C==043A==043E==0432=3A==0413==0435==043D==043D==0430==0434==0456==0439=3A=3A.html</w:t>
        </w:r>
      </w:hyperlink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30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Науковий ступінь: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 </w:t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30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225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Коло наукових інтересів: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вивчення методів та інструментів для виявлення потреб у спілкуванні, навчанні здобувачів освіти з особливими освітніми потребами (ООП); </w:t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225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sz w:val="28"/>
          <w:szCs w:val="28"/>
        </w:rPr>
        <w:t>розроблення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стратегій, підходів до інтеграції</w:t>
      </w:r>
      <w:r>
        <w:rPr>
          <w:sz w:val="28"/>
          <w:szCs w:val="28"/>
        </w:rPr>
        <w:t xml:space="preserve"> здобувачів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з ООП </w:t>
      </w:r>
      <w:r>
        <w:rPr>
          <w:sz w:val="28"/>
          <w:szCs w:val="28"/>
        </w:rPr>
        <w:t xml:space="preserve">в освітні, комунікативні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середовища;</w:t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225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дослідження антиципації у здобувачів освіти з різними особливостями і можливостями розвитку у різних освітніх середовищах;</w:t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225"/>
        <w:ind w:left="0" w:right="0" w:hanging="0"/>
        <w:jc w:val="both"/>
        <w:rPr>
          <w:rFonts w:ascii="Times New Roman" w:hAnsi="Times New Roman" w:eastAsia="Times New Roman" w:cs="Times New Roman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sz w:val="28"/>
          <w:szCs w:val="28"/>
        </w:rPr>
        <w:t>виявлення, діагностика лідерських здібностей здобувачів освіти з ООП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225"/>
        <w:ind w:left="0" w:right="0" w:hanging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225"/>
        <w:ind w:left="0" w:right="0" w:hanging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FFFFFF"/>
        <w:spacing w:lineRule="auto" w:line="240" w:before="0" w:after="225"/>
        <w:ind w:left="0" w:right="0" w:hanging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Публікації: </w:t>
      </w:r>
    </w:p>
    <w:p>
      <w:pPr>
        <w:pStyle w:val="LO-normal"/>
        <w:numPr>
          <w:ilvl w:val="0"/>
          <w:numId w:val="1"/>
        </w:numPr>
        <w:ind w:left="720" w:right="0" w:hanging="360"/>
        <w:jc w:val="both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Міськов Г. В</w:t>
      </w:r>
      <w:r>
        <w:rPr>
          <w:rFonts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. (2017). Джерельна база феномену "антиципація". Г. Міськов.</w:t>
      </w:r>
      <w:r>
        <w:rPr>
          <w:rFonts w:eastAsia="Times New Roman" w:cs="Times New Roman"/>
          <w:b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Матеріали</w:t>
      </w:r>
      <w:r>
        <w:rPr>
          <w:rFonts w:eastAsia="Times New Roman" w:cs="Times New Roman"/>
          <w:b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Ill Міжнародна науково-практична конференція «Генеза буття особистості». Київ: ДП «Інформаційно-аналітичне агентство»,С.139-140. Режим доступу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FF"/>
          <w:kern w:val="0"/>
          <w:position w:val="0"/>
          <w:sz w:val="28"/>
          <w:sz w:val="28"/>
          <w:szCs w:val="28"/>
          <w:u w:val="single"/>
          <w:shd w:fill="auto" w:val="clear"/>
          <w:vertAlign w:val="baseline"/>
          <w:lang w:val="ru-RU" w:eastAsia="zh-CN" w:bidi="hi-IN"/>
        </w:rPr>
        <w:t> </w:t>
      </w:r>
      <w:hyperlink r:id="rId6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kern w:val="0"/>
            <w:position w:val="0"/>
            <w:sz w:val="28"/>
            <w:sz w:val="28"/>
            <w:szCs w:val="28"/>
            <w:u w:val="single"/>
            <w:shd w:fill="auto" w:val="clear"/>
            <w:vertAlign w:val="baseline"/>
            <w:lang w:val="ru-RU" w:eastAsia="zh-CN" w:bidi="hi-IN"/>
          </w:rPr>
          <w:t>http://psychology-naes-ua.institute/files/pdf/zbirnik_materialiv_konferencii_chastina_druga_1499604784.pdf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FF"/>
          <w:kern w:val="0"/>
          <w:position w:val="0"/>
          <w:sz w:val="28"/>
          <w:sz w:val="28"/>
          <w:szCs w:val="28"/>
          <w:u w:val="single"/>
          <w:shd w:fill="auto" w:val="clear"/>
          <w:vertAlign w:val="baseline"/>
          <w:lang w:val="ru-RU" w:eastAsia="zh-CN" w:bidi="hi-IN"/>
        </w:rPr>
        <w:t xml:space="preserve"> </w:t>
      </w:r>
    </w:p>
    <w:p>
      <w:pPr>
        <w:pStyle w:val="LO-normal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</w:r>
    </w:p>
    <w:p>
      <w:pPr>
        <w:pStyle w:val="LO-normal"/>
        <w:numPr>
          <w:ilvl w:val="0"/>
          <w:numId w:val="1"/>
        </w:numPr>
        <w:ind w:left="720" w:right="0" w:hanging="360"/>
        <w:jc w:val="both"/>
        <w:rPr>
          <w:sz w:val="28"/>
          <w:szCs w:val="28"/>
          <w:u w:val="none"/>
        </w:rPr>
      </w:pPr>
      <w:r>
        <w:rPr>
          <w:rFonts w:eastAsia="Times New Roman" w:cs="Times New Roman"/>
          <w:b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М</w:t>
      </w:r>
      <w:r>
        <w:rPr>
          <w:b/>
          <w:sz w:val="28"/>
          <w:szCs w:val="28"/>
        </w:rPr>
        <w:t>і</w:t>
      </w:r>
      <w:r>
        <w:rPr>
          <w:rFonts w:eastAsia="Times New Roman" w:cs="Times New Roman"/>
          <w:b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ськов Г. В.</w:t>
      </w:r>
      <w:r>
        <w:rPr>
          <w:rFonts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 xml:space="preserve"> (2017). Історичні основи формування поняття антиципація в модернізаційних процесах сучасної психології</w:t>
      </w:r>
      <w:r>
        <w:rPr>
          <w:sz w:val="28"/>
          <w:szCs w:val="28"/>
        </w:rPr>
        <w:t>. Г.В</w:t>
      </w:r>
      <w:r>
        <w:rPr>
          <w:rFonts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.Міськов. ISSUES OF UPBRINGING AND TEACHING IN THE CONTEXT OF MODERN CONDITIONS OF OBJECTIVE COMPLICATION OF THE PERSON’S SOCIAL ADAPTATION PROCESSES. Peer-reviewed materials digest (collective monograph) published following the results of the CXXXVIII International Research and Practice Conference and I stage of the Championship in Psychlogy and Educational sciences (London, February 9 - February 15, 2017). S. 51 – 53.</w:t>
      </w:r>
      <w:r>
        <w:rPr>
          <w:sz w:val="28"/>
          <w:szCs w:val="28"/>
        </w:rPr>
        <w:t xml:space="preserve"> Режим доступу: </w:t>
      </w:r>
      <w:hyperlink r:id="rId7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kern w:val="0"/>
            <w:position w:val="0"/>
            <w:sz w:val="28"/>
            <w:sz w:val="28"/>
            <w:szCs w:val="28"/>
            <w:u w:val="single"/>
            <w:shd w:fill="auto" w:val="clear"/>
            <w:vertAlign w:val="baseline"/>
            <w:lang w:val="ru-RU" w:eastAsia="zh-CN" w:bidi="hi-IN"/>
          </w:rPr>
          <w:t>http://lib.iitta.gov.ua/713513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FF"/>
          <w:kern w:val="0"/>
          <w:position w:val="0"/>
          <w:sz w:val="28"/>
          <w:sz w:val="28"/>
          <w:szCs w:val="28"/>
          <w:u w:val="single"/>
          <w:shd w:fill="auto" w:val="clear"/>
          <w:vertAlign w:val="baseline"/>
          <w:lang w:val="ru-RU" w:eastAsia="zh-CN" w:bidi="hi-IN"/>
        </w:rPr>
        <w:t xml:space="preserve"> </w:t>
      </w:r>
    </w:p>
    <w:p>
      <w:pPr>
        <w:pStyle w:val="LO-normal"/>
        <w:numPr>
          <w:ilvl w:val="0"/>
          <w:numId w:val="1"/>
        </w:numPr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Міськов Г. В.</w:t>
      </w:r>
      <w:r>
        <w:rPr>
          <w:rFonts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 xml:space="preserve"> (2017). Розуміння антиципації в психологічній науці. ІІІ Міжнародна науково-практична конференція «Генеза буття особистості».  Київ: ДП «Інформаційно-аналітичне агенство», 2017. С. 149-150.</w:t>
      </w:r>
    </w:p>
    <w:p>
      <w:pPr>
        <w:pStyle w:val="LO-normal"/>
        <w:numPr>
          <w:ilvl w:val="0"/>
          <w:numId w:val="1"/>
        </w:numPr>
        <w:ind w:left="720" w:right="0" w:hanging="360"/>
        <w:jc w:val="both"/>
        <w:rPr>
          <w:sz w:val="28"/>
          <w:szCs w:val="28"/>
          <w:u w:val="none"/>
        </w:rPr>
      </w:pPr>
      <w:r>
        <w:rPr>
          <w:rFonts w:eastAsia="Times New Roman" w:cs="Times New Roman"/>
          <w:b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 xml:space="preserve">Міськов Г. В. </w:t>
      </w:r>
      <w:r>
        <w:rPr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(2017).</w:t>
      </w:r>
      <w:r>
        <w:rPr>
          <w:rFonts w:eastAsia="Times New Roman" w:cs="Times New Roman"/>
          <w:b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Підходи до вивчення антиципації в сучасній психології. Г. Міськов. Актуальні проблеми розвитку особистості в умовах міжкультурної взаємодії в освітньому просторі: Збірник матеріалів Міжнародної заочної науково-практичної конференції. Київ, 2017</w:t>
      </w:r>
      <w:r>
        <w:rPr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 xml:space="preserve">Частина 2. 106-110. Режим доступу </w:t>
      </w:r>
      <w:hyperlink r:id="rId8">
        <w:r>
          <w:rPr>
            <w:rStyle w:val="Style9"/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kern w:val="0"/>
            <w:position w:val="0"/>
            <w:sz w:val="28"/>
            <w:sz w:val="28"/>
            <w:szCs w:val="28"/>
            <w:u w:val="single"/>
            <w:shd w:fill="auto" w:val="clear"/>
            <w:vertAlign w:val="baseline"/>
            <w:lang w:val="ru-RU" w:eastAsia="zh-CN" w:bidi="hi-IN"/>
          </w:rPr>
          <w:t>http://psychology-naes-ua.institute/files/pdf/zbirnik_materialiv_konferencii_chastina_druga_1499604784.pdf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FF"/>
          <w:kern w:val="0"/>
          <w:position w:val="0"/>
          <w:sz w:val="28"/>
          <w:sz w:val="28"/>
          <w:szCs w:val="28"/>
          <w:u w:val="single"/>
          <w:shd w:fill="auto" w:val="clear"/>
          <w:vertAlign w:val="baseline"/>
          <w:lang w:val="ru-RU" w:eastAsia="zh-CN" w:bidi="hi-IN"/>
        </w:rPr>
        <w:t xml:space="preserve">  </w:t>
      </w:r>
    </w:p>
    <w:p>
      <w:pPr>
        <w:pStyle w:val="LO-normal"/>
        <w:numPr>
          <w:ilvl w:val="0"/>
          <w:numId w:val="1"/>
        </w:numPr>
        <w:ind w:left="720" w:right="0" w:hanging="360"/>
        <w:jc w:val="both"/>
        <w:rPr>
          <w:sz w:val="28"/>
          <w:szCs w:val="28"/>
          <w:u w:val="none"/>
        </w:rPr>
      </w:pPr>
      <w:r>
        <w:rPr>
          <w:b/>
          <w:sz w:val="28"/>
          <w:szCs w:val="28"/>
        </w:rPr>
        <w:t xml:space="preserve">Міськов Г.В. </w:t>
      </w:r>
      <w:r>
        <w:rPr>
          <w:sz w:val="28"/>
          <w:szCs w:val="28"/>
        </w:rPr>
        <w:t xml:space="preserve">(2017). Антиципація в професійній діяльності. Г.В. Міськов. </w:t>
      </w:r>
      <w:hyperlink r:id="rId9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kern w:val="0"/>
            <w:position w:val="0"/>
            <w:sz w:val="28"/>
            <w:sz w:val="28"/>
            <w:szCs w:val="28"/>
            <w:u w:val="single"/>
            <w:shd w:fill="auto" w:val="clear"/>
            <w:vertAlign w:val="baseline"/>
            <w:lang w:val="ru-RU" w:eastAsia="zh-CN" w:bidi="hi-IN"/>
          </w:rPr>
          <w:t>Технології розвитку інтелекту</w:t>
        </w:r>
      </w:hyperlink>
      <w:r>
        <w:rPr>
          <w:sz w:val="28"/>
          <w:szCs w:val="28"/>
        </w:rPr>
        <w:t xml:space="preserve">. Т. 2 Вип. 6. </w:t>
      </w:r>
      <w:r>
        <w:rPr>
          <w:color w:val="444444"/>
          <w:sz w:val="28"/>
          <w:szCs w:val="28"/>
          <w:highlight w:val="white"/>
        </w:rPr>
        <w:t>Режим доступу:</w:t>
      </w:r>
      <w:r>
        <w:rPr>
          <w:color w:val="444444"/>
          <w:sz w:val="28"/>
          <w:szCs w:val="28"/>
          <w:shd w:fill="F9F9F9" w:val="clear"/>
        </w:rPr>
        <w:t xml:space="preserve"> </w:t>
      </w:r>
      <w:hyperlink r:id="rId10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kern w:val="0"/>
            <w:position w:val="0"/>
            <w:sz w:val="28"/>
            <w:sz w:val="28"/>
            <w:szCs w:val="28"/>
            <w:u w:val="single"/>
            <w:shd w:fill="auto" w:val="clear"/>
            <w:vertAlign w:val="baseline"/>
            <w:lang w:val="ru-RU" w:eastAsia="zh-CN" w:bidi="hi-IN"/>
          </w:rPr>
          <w:t>http://nbuv.gov.ua/UJRN/tri_2017_2_6_12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FF"/>
          <w:kern w:val="0"/>
          <w:position w:val="0"/>
          <w:sz w:val="28"/>
          <w:sz w:val="28"/>
          <w:szCs w:val="28"/>
          <w:u w:val="single"/>
          <w:shd w:fill="auto" w:val="clear"/>
          <w:vertAlign w:val="baseline"/>
          <w:lang w:val="ru-RU" w:eastAsia="zh-CN" w:bidi="hi-IN"/>
        </w:rPr>
        <w:t xml:space="preserve"> </w:t>
      </w:r>
    </w:p>
    <w:p>
      <w:pPr>
        <w:pStyle w:val="LO-normal"/>
        <w:numPr>
          <w:ilvl w:val="0"/>
          <w:numId w:val="1"/>
        </w:numPr>
        <w:spacing w:before="0" w:afterAutospacing="0" w:after="0"/>
        <w:ind w:left="720" w:right="0" w:hanging="360"/>
        <w:jc w:val="both"/>
        <w:rPr>
          <w:sz w:val="28"/>
          <w:szCs w:val="28"/>
          <w:u w:val="none"/>
        </w:rPr>
      </w:pPr>
      <w:r>
        <w:rPr>
          <w:b/>
          <w:sz w:val="28"/>
          <w:szCs w:val="28"/>
          <w:highlight w:val="white"/>
        </w:rPr>
        <w:t>Міськов Г.В.</w:t>
      </w:r>
      <w:r>
        <w:rPr>
          <w:sz w:val="28"/>
          <w:szCs w:val="28"/>
          <w:highlight w:val="white"/>
        </w:rPr>
        <w:t xml:space="preserve"> (2023) </w:t>
      </w:r>
      <w:hyperlink r:id="rId11">
        <w:r>
          <w:rPr>
            <w:sz w:val="28"/>
            <w:szCs w:val="28"/>
            <w:highlight w:val="white"/>
          </w:rPr>
          <w:t>Освітні потреби глухих здобувачів як соціокультурні детермінанти</w:t>
        </w:r>
      </w:hyperlink>
      <w:r>
        <w:rPr>
          <w:sz w:val="28"/>
          <w:szCs w:val="28"/>
          <w:highlight w:val="white"/>
        </w:rPr>
        <w:t>. Освіта осіб з особливими потребами в умовах миру і війни: Матеріали IХ Міжнародного конгресу зі спеціальної педагогіки та психології. Інститут спеціальної педагогіки і психології імені Миколи Ярмаченка НАПН України, м. Київ, Україна. С. 354-358.</w:t>
      </w:r>
    </w:p>
    <w:p>
      <w:pPr>
        <w:pStyle w:val="LO-normal"/>
        <w:numPr>
          <w:ilvl w:val="0"/>
          <w:numId w:val="1"/>
        </w:numPr>
        <w:spacing w:lineRule="auto" w:line="240" w:beforeAutospacing="0" w:before="0" w:after="240"/>
        <w:ind w:left="720" w:hanging="3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Малинович, Л., Кульбіда С.</w:t>
      </w:r>
      <w:r>
        <w:rPr>
          <w:b/>
          <w:sz w:val="28"/>
          <w:szCs w:val="28"/>
          <w:highlight w:val="white"/>
        </w:rPr>
        <w:t>, Міськов Г</w:t>
      </w:r>
      <w:r>
        <w:rPr>
          <w:sz w:val="28"/>
          <w:szCs w:val="28"/>
          <w:highlight w:val="white"/>
        </w:rPr>
        <w:t>. (2023).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Створення доступного мовного середовища для дошкільників: необхідність і виклики. </w:t>
      </w:r>
      <w:r>
        <w:rPr>
          <w:i/>
          <w:sz w:val="28"/>
          <w:szCs w:val="28"/>
          <w:highlight w:val="white"/>
        </w:rPr>
        <w:t>Особлива дитина : навчання і виховання</w:t>
      </w:r>
      <w:r>
        <w:rPr>
          <w:sz w:val="28"/>
          <w:szCs w:val="28"/>
          <w:highlight w:val="white"/>
        </w:rPr>
        <w:t xml:space="preserve">. </w:t>
      </w:r>
      <w:r>
        <w:rPr>
          <w:i/>
          <w:sz w:val="28"/>
          <w:szCs w:val="28"/>
          <w:highlight w:val="white"/>
        </w:rPr>
        <w:t>112(4), 95-118</w:t>
      </w:r>
      <w:r>
        <w:rPr>
          <w:sz w:val="28"/>
          <w:szCs w:val="28"/>
          <w:highlight w:val="white"/>
        </w:rPr>
        <w:t>.</w:t>
      </w:r>
      <w:hyperlink r:id="rId12">
        <w:r>
          <w:rPr>
            <w:sz w:val="28"/>
            <w:szCs w:val="28"/>
            <w:highlight w:val="white"/>
          </w:rPr>
          <w:t xml:space="preserve"> </w:t>
        </w:r>
      </w:hyperlink>
      <w:hyperlink r:id="rId13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kern w:val="0"/>
            <w:position w:val="0"/>
            <w:sz w:val="28"/>
            <w:sz w:val="28"/>
            <w:szCs w:val="28"/>
            <w:u w:val="single"/>
            <w:shd w:fill="auto" w:val="clear"/>
            <w:vertAlign w:val="baseline"/>
            <w:lang w:val="ru-RU" w:eastAsia="zh-CN" w:bidi="hi-IN"/>
          </w:rPr>
          <w:t>https://doi.org/10.33189/ectu.v112i4.158</w:t>
        </w:r>
      </w:hyperlink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Garamond"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-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Style16"/>
    <w:qFormat/>
    <w:pPr>
      <w:widowControl/>
      <w:numPr>
        <w:ilvl w:val="1"/>
        <w:numId w:val="1"/>
      </w:numPr>
      <w:suppressAutoHyphens w:val="false"/>
      <w:bidi w:val="0"/>
      <w:spacing w:lineRule="atLeast" w:line="1" w:before="280" w:after="280"/>
      <w:textAlignment w:val="top"/>
      <w:outlineLvl w:val="1"/>
    </w:pPr>
    <w:rPr>
      <w:rFonts w:ascii="Times New Roman" w:hAnsi="Times New Roman" w:eastAsia="Times New Roman" w:cs="Times New Roman"/>
      <w:b/>
      <w:bCs/>
      <w:w w:val="100"/>
      <w:position w:val="0"/>
      <w:sz w:val="36"/>
      <w:sz w:val="36"/>
      <w:szCs w:val="36"/>
      <w:effect w:val="none"/>
      <w:vertAlign w:val="baseline"/>
      <w:em w:val="none"/>
      <w:lang w:val="ru-RU" w:eastAsia="zh-CN" w:bidi="ar-SA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Times New Roman" w:hAnsi="Times New Roman" w:cs="Times New Roman"/>
      <w:i w:val="false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1z1">
    <w:name w:val="WW8Num1z1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Times New Roman" w:hAnsi="Times New Roman" w:cs="Times New Roman"/>
      <w:i w:val="false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4z0">
    <w:name w:val="WW8Num4z0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w w:val="100"/>
      <w:position w:val="0"/>
      <w:sz w:val="28"/>
      <w:sz w:val="28"/>
      <w:szCs w:val="28"/>
      <w:effect w:val="none"/>
      <w:vertAlign w:val="baseline"/>
      <w:em w:val="none"/>
      <w:lang w:val="ru-RU"/>
    </w:rPr>
  </w:style>
  <w:style w:type="character" w:styleId="WW8Num5z1">
    <w:name w:val="WW8Num5z1"/>
    <w:qFormat/>
    <w:rPr>
      <w:b w:val="false"/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b w:val="false"/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>
    <w:name w:val="WW8Num9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Times New Roman" w:hAnsi="Times New Roman" w:cs="Times New Roman"/>
      <w:i w:val="false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>
    <w:name w:val="WW8Num12z0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>
    <w:name w:val="WW8Num1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>
    <w:name w:val="WW8Num13z1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>
    <w:name w:val="WW8Num1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0">
    <w:name w:val="WW8Num17z0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18z0">
    <w:name w:val="WW8Num18z0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19z0">
    <w:name w:val="WW8Num19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0">
    <w:name w:val="WW8Num20z0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21z0">
    <w:name w:val="WW8Num21z0"/>
    <w:qFormat/>
    <w:rPr>
      <w:rFonts w:ascii="Times New Roman" w:hAnsi="Times New Roman" w:cs="Times New Roman"/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21z1">
    <w:name w:val="WW8Num21z1"/>
    <w:qFormat/>
    <w:rPr>
      <w:rFonts w:ascii="Times New Roman" w:hAnsi="Times New Roman" w:cs="Times New Roman"/>
      <w:i w:val="false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22z0">
    <w:name w:val="WW8Num22z0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23z0">
    <w:name w:val="WW8Num23z0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26z0">
    <w:name w:val="WW8Num26z0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29z0">
    <w:name w:val="WW8Num29z0"/>
    <w:qFormat/>
    <w:rPr>
      <w:b w:val="false"/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30z0">
    <w:name w:val="WW8Num30z0"/>
    <w:qFormat/>
    <w:rPr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31z0">
    <w:name w:val="WW8Num31z0"/>
    <w:qFormat/>
    <w:rPr>
      <w:rFonts w:ascii="Times New Roman" w:hAnsi="Times New Roman" w:cs="Times New Roman"/>
      <w:i w:val="false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32z0">
    <w:name w:val="WW8Num3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3z0">
    <w:name w:val="WW8Num33z0"/>
    <w:qFormat/>
    <w:rPr>
      <w:b w:val="false"/>
      <w:bCs w:val="false"/>
      <w:i w:val="false"/>
      <w:iCs w:val="false"/>
      <w:w w:val="100"/>
      <w:position w:val="0"/>
      <w:sz w:val="24"/>
      <w:sz w:val="24"/>
      <w:u w:val="none"/>
      <w:effect w:val="none"/>
      <w:vertAlign w:val="baseline"/>
      <w:em w:val="none"/>
    </w:rPr>
  </w:style>
  <w:style w:type="character" w:styleId="WW8Num34z0">
    <w:name w:val="WW8Num34z0"/>
    <w:qFormat/>
    <w:rPr>
      <w:rFonts w:ascii="Times New Roman" w:hAnsi="Times New Roman" w:cs="Times New Roman"/>
      <w:i w:val="false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35z0">
    <w:name w:val="WW8Num35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7z0">
    <w:name w:val="WW8Num37z0"/>
    <w:qFormat/>
    <w:rPr>
      <w:rFonts w:ascii="Times New Roman" w:hAnsi="Times New Roman" w:eastAsia="Times New Roman" w:cs="Times New Roman"/>
      <w:i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Style8">
    <w:name w:val="Шрифт абзацу за замовчуванням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Style9">
    <w:name w:val="Hyperlink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tyle10">
    <w:name w:val="Emphasis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FontStyle465">
    <w:name w:val="Font Style465"/>
    <w:qFormat/>
    <w:rPr>
      <w:rFonts w:ascii="Arial" w:hAnsi="Arial" w:cs="Aria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Apple-converted-space">
    <w:name w:val="apple-converted-space"/>
    <w:basedOn w:val="Style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yle11">
    <w:name w:val="Основний текст Знак"/>
    <w:qFormat/>
    <w:rPr>
      <w:w w:val="100"/>
      <w:position w:val="0"/>
      <w:sz w:val="24"/>
      <w:sz w:val="24"/>
      <w:szCs w:val="24"/>
      <w:effect w:val="none"/>
      <w:vertAlign w:val="baseline"/>
      <w:em w:val="none"/>
      <w:lang w:val="und" w:bidi="ar-SA"/>
    </w:rPr>
  </w:style>
  <w:style w:type="character" w:styleId="Markedcontent">
    <w:name w:val="markedcontent"/>
    <w:basedOn w:val="Style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Value">
    <w:name w:val="value"/>
    <w:basedOn w:val="Style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yle12">
    <w:name w:val="Незакрита згадка"/>
    <w:qFormat/>
    <w:rPr>
      <w:color w:val="605E5C"/>
      <w:w w:val="100"/>
      <w:position w:val="0"/>
      <w:sz w:val="24"/>
      <w:sz w:val="24"/>
      <w:effect w:val="none"/>
      <w:shd w:fill="E1DFDD" w:val="clear"/>
      <w:vertAlign w:val="baseline"/>
      <w:em w:val="none"/>
    </w:rPr>
  </w:style>
  <w:style w:type="character" w:styleId="Style13">
    <w:name w:val="FollowedHyperlink"/>
    <w:qFormat/>
    <w:rPr>
      <w:color w:val="80000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tyle14">
    <w:name w:val="Символ нумерації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Style15">
    <w:name w:val="Заголовок"/>
    <w:basedOn w:val="LO-normal"/>
    <w:next w:val="Style16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paragraph" w:styleId="Style16">
    <w:name w:val="Body Text"/>
    <w:basedOn w:val="LO-normal"/>
    <w:qFormat/>
    <w:pPr>
      <w:widowControl/>
      <w:suppressAutoHyphens w:val="false"/>
      <w:bidi w:val="0"/>
      <w:spacing w:lineRule="atLeast" w:line="1" w:before="0" w:after="12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und" w:eastAsia="zh-CN" w:bidi="ar-SA"/>
    </w:rPr>
  </w:style>
  <w:style w:type="paragraph" w:styleId="Style17">
    <w:name w:val="List"/>
    <w:basedOn w:val="Style16"/>
    <w:qFormat/>
    <w:pPr>
      <w:widowControl/>
      <w:suppressAutoHyphens w:val="false"/>
      <w:bidi w:val="0"/>
      <w:spacing w:lineRule="atLeast" w:line="1" w:before="0" w:after="120"/>
      <w:textAlignment w:val="top"/>
    </w:pPr>
    <w:rPr>
      <w:rFonts w:ascii="Times New Roman" w:hAnsi="Times New Roman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und" w:eastAsia="zh-CN" w:bidi="ar-SA"/>
    </w:rPr>
  </w:style>
  <w:style w:type="paragraph" w:styleId="Style18">
    <w:name w:val="Caption"/>
    <w:basedOn w:val="LO-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9">
    <w:name w:val="Покажчик"/>
    <w:basedOn w:val="LO-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zh-CN" w:bidi="hi-IN"/>
    </w:rPr>
  </w:style>
  <w:style w:type="paragraph" w:styleId="Style20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21">
    <w:name w:val="Звичайний (веб)"/>
    <w:basedOn w:val="LO-normal"/>
    <w:qFormat/>
    <w:pPr>
      <w:widowControl/>
      <w:suppressAutoHyphens w:val="false"/>
      <w:bidi w:val="0"/>
      <w:spacing w:lineRule="atLeast" w:line="1" w:before="280" w:after="28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21">
    <w:name w:val="Основний текст з відступом 2"/>
    <w:basedOn w:val="LO-normal"/>
    <w:qFormat/>
    <w:pPr>
      <w:widowControl w:val="false"/>
      <w:suppressAutoHyphens w:val="false"/>
      <w:bidi w:val="0"/>
      <w:spacing w:lineRule="auto" w:line="480" w:before="0" w:after="120"/>
      <w:ind w:left="283" w:right="0" w:hanging="0"/>
      <w:textAlignment w:val="top"/>
      <w:outlineLvl w:val="0"/>
    </w:pPr>
    <w:rPr>
      <w:rFonts w:ascii="Times New Roman" w:hAnsi="Times New Roman" w:eastAsia="Arial Unicode MS" w:cs="Times New Roman"/>
      <w:w w:val="100"/>
      <w:position w:val="0"/>
      <w:sz w:val="24"/>
      <w:sz w:val="24"/>
      <w:szCs w:val="24"/>
      <w:effect w:val="none"/>
      <w:vertAlign w:val="baseline"/>
      <w:em w:val="none"/>
      <w:lang w:val="uk-UA" w:eastAsia="zh-CN" w:bidi="ar-SA"/>
    </w:rPr>
  </w:style>
  <w:style w:type="paragraph" w:styleId="Iauiue">
    <w:name w:val="Iau?iue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uk-UA" w:eastAsia="zh-CN" w:bidi="ar-SA"/>
    </w:rPr>
  </w:style>
  <w:style w:type="paragraph" w:styleId="11">
    <w:name w:val="1 Знак Знак Знак Знак Знак Знак Знак Знак Знак Знак Знак Знак Знак Знак Знак Знак Знак Знак"/>
    <w:basedOn w:val="LO-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Verdana" w:hAnsi="Verdana" w:eastAsia="Times New Roman" w:cs="Verdana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51">
    <w:name w:val="Стиль5"/>
    <w:basedOn w:val="LO-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22">
    <w:name w:val="Блокування тексту"/>
    <w:basedOn w:val="LO-normal"/>
    <w:qFormat/>
    <w:pPr>
      <w:widowControl w:val="false"/>
      <w:suppressAutoHyphens w:val="false"/>
      <w:overflowPunct w:val="false"/>
      <w:bidi w:val="0"/>
      <w:spacing w:lineRule="atLeast" w:line="1"/>
      <w:ind w:left="2421" w:right="2801" w:hanging="0"/>
      <w:jc w:val="center"/>
      <w:textAlignment w:val="baseline"/>
      <w:outlineLvl w:val="0"/>
    </w:pPr>
    <w:rPr>
      <w:rFonts w:ascii="Times New Roman" w:hAnsi="Times New Roman" w:eastAsia="Calibri" w:cs="Times New Roman"/>
      <w:w w:val="100"/>
      <w:position w:val="0"/>
      <w:sz w:val="28"/>
      <w:sz w:val="28"/>
      <w:szCs w:val="20"/>
      <w:effect w:val="none"/>
      <w:vertAlign w:val="baseline"/>
      <w:em w:val="none"/>
      <w:lang w:val="uk-UA" w:eastAsia="zh-CN" w:bidi="ar-SA"/>
    </w:rPr>
  </w:style>
  <w:style w:type="paragraph" w:styleId="12">
    <w:name w:val="1 Знак Знак Знак Знак Знак Знак Знак Знак Знак Знак Знак Знак Знак Знак Знак Знак Знак Знак Знак Знак Знак Знак Знак Знак"/>
    <w:basedOn w:val="LO-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Verdana" w:hAnsi="Verdana" w:eastAsia="Times New Roman" w:cs="Verdana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Default">
    <w:name w:val="Default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Garamond" w:hAnsi="Garamond" w:eastAsia="Times New Roman" w:cs="Garamond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23">
    <w:name w:val="Вміст таблиці"/>
    <w:basedOn w:val="LO-normal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24">
    <w:name w:val="Заголовок таблиці"/>
    <w:basedOn w:val="Style23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25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orcid.org/0000-0002-4135-8880" TargetMode="External"/><Relationship Id="rId4" Type="http://schemas.openxmlformats.org/officeDocument/2006/relationships/hyperlink" Target="https://scholar.google.com.ua/citations?user=eYJliTwAAAAJ&amp;hl=uk" TargetMode="External"/><Relationship Id="rId5" Type="http://schemas.openxmlformats.org/officeDocument/2006/relationships/hyperlink" Target="https://lib.iitta.gov.ua/view/creators/==041C==0456==0441==044C==043A==043E==0432=3A==0413==0435==043D==043D==0430==0434==0456==0439=3A=3A.html" TargetMode="External"/><Relationship Id="rId6" Type="http://schemas.openxmlformats.org/officeDocument/2006/relationships/hyperlink" Target="http://psychology-naes-ua.institute/files/pdf/zbirnik_materialiv_konferencii_chastina_druga_1499604784.pdf" TargetMode="External"/><Relationship Id="rId7" Type="http://schemas.openxmlformats.org/officeDocument/2006/relationships/hyperlink" Target="http://lib.iitta.gov.ua/713513/1/Miskov G_REPORT_Historical Basis Of Forming The Term Anticipation In Modern Processes Of Current Psychology.pdf" TargetMode="External"/><Relationship Id="rId8" Type="http://schemas.openxmlformats.org/officeDocument/2006/relationships/hyperlink" Target="http://psychology-naes-ua.institute/files/pdf/zbirnik_materialiv_konferencii_chastina_druga_1499604784.pdf" TargetMode="Externa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EJ000083" TargetMode="External"/><Relationship Id="rId1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tri_2017_2_6_12" TargetMode="External"/><Relationship Id="rId11" Type="http://schemas.openxmlformats.org/officeDocument/2006/relationships/hyperlink" Target="http://lib.iitta.gov.ua/738579/" TargetMode="External"/><Relationship Id="rId12" Type="http://schemas.openxmlformats.org/officeDocument/2006/relationships/hyperlink" Target="https://doi.org/10.33189/ectu.v112i4.158" TargetMode="External"/><Relationship Id="rId13" Type="http://schemas.openxmlformats.org/officeDocument/2006/relationships/hyperlink" Target="https://doi.org/10.33189/ectu.v112i4.158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gNqHoRzTZ8jgyHpdmrbMxasN66Q==">CgMxLjA4AHIhMXY1a3ZmUHlBVjlxN2dSVEpxY2UwWWZLbUxoVUk1Y2Fj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LibreOffice/7.5.4.2$Windows_X86_64 LibreOffice_project/36ccfdc35048b057fd9854c757a8b67ec53977b6</Application>
  <AppVersion>15.0000</AppVersion>
  <Pages>2</Pages>
  <Words>342</Words>
  <Characters>2876</Characters>
  <CharactersWithSpaces>3208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2024-02-26T17:30:00Z</dcterms:created>
  <dc:creator>Ира</dc:creator>
  <dc:description/>
  <dc:language>uk-UA</dc:language>
  <cp:lastModifiedBy/>
  <dcterms:modified xsi:type="dcterms:W3CDTF">2024-04-17T10:17:04Z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